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0F" w:rsidRPr="003431B9" w:rsidRDefault="006B6B99">
      <w:pPr>
        <w:rPr>
          <w:b/>
        </w:rPr>
      </w:pPr>
      <w:r w:rsidRPr="003431B9">
        <w:rPr>
          <w:b/>
        </w:rPr>
        <w:t xml:space="preserve">Original calculation of Probability of Informed Trading (PIN): </w:t>
      </w:r>
    </w:p>
    <w:p w:rsidR="006B6B99" w:rsidRDefault="0079602E">
      <m:oMathPara>
        <m:oMathParaPr>
          <m:jc m:val="left"/>
        </m:oMathParaPr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  <m:e>
              <m:r>
                <w:rPr>
                  <w:rFonts w:ascii="Cambria Math" w:hAnsi="Cambria Math"/>
                </w:rPr>
                <m:t>B,S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1-α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B!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S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S!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αδe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-ε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B!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(μ+ε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μ+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S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S!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α(1-δ)e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-(μ+ε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(μ+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B!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S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S!</m:t>
              </m:r>
            </m:den>
          </m:f>
        </m:oMath>
      </m:oMathPara>
    </w:p>
    <w:p w:rsidR="006B6B99" w:rsidRDefault="006B6B99"/>
    <w:p w:rsidR="0079602E" w:rsidRDefault="0079602E" w:rsidP="0079602E">
      <w:r>
        <w:t>The first term of the likelihood denotes no new information day, the second term is bad event day and the third term is good event day.</w:t>
      </w:r>
    </w:p>
    <w:p w:rsidR="0079602E" w:rsidRDefault="0079602E">
      <w:r>
        <w:t>Where:</w:t>
      </w:r>
    </w:p>
    <w:p w:rsidR="00556F0F" w:rsidRDefault="00556F0F">
      <w:r>
        <w:t xml:space="preserve">B </w:t>
      </w:r>
      <w:r w:rsidR="00004C7A">
        <w:t>is</w:t>
      </w:r>
      <w:r>
        <w:t xml:space="preserve"> total number of buy</w:t>
      </w:r>
    </w:p>
    <w:p w:rsidR="00004C7A" w:rsidRDefault="00004C7A">
      <w:r>
        <w:t>S is total number of sell</w:t>
      </w:r>
    </w:p>
    <w:p w:rsidR="00004C7A" w:rsidRDefault="00004C7A">
      <w:r>
        <w:t xml:space="preserve">θ = </w:t>
      </w:r>
      <m:oMath>
        <m:r>
          <w:rPr>
            <w:rFonts w:ascii="Cambria Math" w:hAnsi="Cambria Math"/>
          </w:rPr>
          <m:t>(α,µ,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,δ)</m:t>
        </m:r>
      </m:oMath>
      <w:r>
        <w:t xml:space="preserve"> is parameter vector </w:t>
      </w:r>
    </w:p>
    <w:p w:rsidR="00004C7A" w:rsidRDefault="00004C7A"/>
    <w:p w:rsidR="00004C7A" w:rsidRDefault="00004C7A">
      <w:r>
        <w:t>The likelihood function over P days is:</w:t>
      </w:r>
    </w:p>
    <w:p w:rsidR="00004C7A" w:rsidRDefault="00004C7A">
      <m:oMathPara>
        <m:oMath>
          <m:r>
            <w:rPr>
              <w:rFonts w:ascii="Cambria Math" w:hAnsi="Cambria Math"/>
            </w:rPr>
            <m:t>V=L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  <m:e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L(θ|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nary>
        </m:oMath>
      </m:oMathPara>
    </w:p>
    <w:p w:rsidR="00004C7A" w:rsidRPr="0079602E" w:rsidRDefault="0079602E">
      <w:pPr>
        <w:rPr>
          <w:b/>
        </w:rPr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are the </w:t>
      </w:r>
      <w:proofErr w:type="gramStart"/>
      <w:r>
        <w:rPr>
          <w:rFonts w:eastAsiaTheme="minorEastAsia"/>
        </w:rPr>
        <w:t>day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trades and </w:t>
      </w:r>
      <m:oMath>
        <m:r>
          <w:rPr>
            <w:rFonts w:ascii="Cambria Math" w:eastAsiaTheme="minorEastAsia" w:hAnsi="Cambria Math"/>
          </w:rPr>
          <m:t>M=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((B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),…,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(B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))</m:t>
        </m:r>
      </m:oMath>
      <w:r>
        <w:rPr>
          <w:rFonts w:eastAsiaTheme="minorEastAsia"/>
        </w:rPr>
        <w:t xml:space="preserve"> is the data set</w:t>
      </w:r>
    </w:p>
    <w:p w:rsidR="00004C7A" w:rsidRDefault="00004C7A"/>
    <w:p w:rsidR="00556F0F" w:rsidRPr="003431B9" w:rsidRDefault="00725697">
      <w:pPr>
        <w:rPr>
          <w:b/>
        </w:rPr>
      </w:pPr>
      <w:r w:rsidRPr="003431B9">
        <w:rPr>
          <w:b/>
        </w:rPr>
        <w:t>Because of factorial problem of large numbers of buy (B) or sell (S) cause the system to overflow easily, so the maximization estimation is changed into:</w:t>
      </w:r>
    </w:p>
    <w:p w:rsidR="00725697" w:rsidRDefault="00725697">
      <m:oMathPara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B,S</m:t>
                  </m:r>
                </m:e>
              </m:d>
            </m:e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-ε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ln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+ln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μ+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μ+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</m:e>
                      </m:d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e>
              </m:d>
              <m: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ln⁡</m:t>
                  </m:r>
                  <m:r>
                    <w:rPr>
                      <w:rFonts w:ascii="Cambria Math" w:hAnsi="Cambria Math"/>
                    </w:rPr>
                    <m:t>[</m:t>
                  </m:r>
                  <m:r>
                    <w:rPr>
                      <w:rFonts w:ascii="Cambria Math" w:hAnsi="Cambria Math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1-δ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-μ</m:t>
                      </m:r>
                    </m:sup>
                  </m:s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αδe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-μ</m:t>
                      </m:r>
                    </m:sup>
                  </m:sSup>
                </m:e>
              </m:nary>
            </m:e>
          </m:nary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sup>
          </m:sSubSup>
          <m:r>
            <w:rPr>
              <w:rFonts w:ascii="Cambria Math" w:hAnsi="Cambria Math"/>
            </w:rPr>
            <m:t>+(1-α)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sup>
          </m:sSubSup>
        </m:oMath>
      </m:oMathPara>
    </w:p>
    <w:p w:rsidR="00725697" w:rsidRDefault="00652194">
      <w:r>
        <w:t>Where</w:t>
      </w:r>
      <w:proofErr w:type="gramStart"/>
      <w:r>
        <w:t>:</w:t>
      </w:r>
      <w:r w:rsidR="003431B9">
        <w:t xml:space="preserve">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max⁡</m:t>
            </m:r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431B9">
        <w:rPr>
          <w:rFonts w:eastAsiaTheme="minorEastAsia"/>
        </w:rPr>
        <w:t xml:space="preserve">  ,</w:t>
      </w:r>
      <w:proofErr w:type="gramEnd"/>
      <w:r w:rsidR="003431B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μ+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den>
        </m:f>
      </m:oMath>
      <w:r w:rsidR="003431B9">
        <w:rPr>
          <w:rFonts w:eastAsiaTheme="minorEastAsia"/>
        </w:rPr>
        <w:t xml:space="preserve"> , 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μ+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den>
        </m:f>
      </m:oMath>
    </w:p>
    <w:p w:rsidR="00D30FF7" w:rsidRDefault="00D30FF7" w:rsidP="00D30FF7">
      <w:pPr>
        <w:spacing w:line="360" w:lineRule="auto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Key elements of the model:</w:t>
      </w:r>
    </w:p>
    <w:p w:rsidR="00D30FF7" w:rsidRPr="00D30FF7" w:rsidRDefault="00D30FF7" w:rsidP="00D30FF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i/>
          <w:sz w:val="18"/>
          <w:szCs w:val="18"/>
        </w:rPr>
        <w:sectPr w:rsidR="00D30FF7" w:rsidRPr="00D30FF7" w:rsidSect="00B01B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30FF7">
        <w:rPr>
          <w:rFonts w:asciiTheme="majorHAnsi" w:hAnsiTheme="majorHAnsi"/>
          <w:i/>
          <w:sz w:val="18"/>
          <w:szCs w:val="18"/>
        </w:rPr>
        <w:t xml:space="preserve">Information events occur independently on a daily basis, </w:t>
      </w:r>
      <w:r>
        <w:rPr>
          <w:rFonts w:asciiTheme="majorHAnsi" w:hAnsiTheme="majorHAnsi"/>
          <w:i/>
          <w:sz w:val="18"/>
          <w:szCs w:val="18"/>
        </w:rPr>
        <w:t xml:space="preserve">(2) </w:t>
      </w:r>
      <w:r w:rsidRPr="00D30FF7">
        <w:rPr>
          <w:rFonts w:asciiTheme="majorHAnsi" w:hAnsiTheme="majorHAnsi"/>
          <w:i/>
          <w:sz w:val="18"/>
          <w:szCs w:val="18"/>
        </w:rPr>
        <w:t xml:space="preserve">there is at </w:t>
      </w:r>
      <w:r>
        <w:rPr>
          <w:rFonts w:asciiTheme="majorHAnsi" w:hAnsiTheme="majorHAnsi"/>
          <w:i/>
          <w:sz w:val="18"/>
          <w:szCs w:val="18"/>
        </w:rPr>
        <w:t>most one information event per d</w:t>
      </w:r>
      <w:r w:rsidRPr="00D30FF7">
        <w:rPr>
          <w:rFonts w:asciiTheme="majorHAnsi" w:hAnsiTheme="majorHAnsi"/>
          <w:i/>
          <w:sz w:val="18"/>
          <w:szCs w:val="18"/>
        </w:rPr>
        <w:t>a</w:t>
      </w:r>
      <w:r>
        <w:rPr>
          <w:rFonts w:asciiTheme="majorHAnsi" w:hAnsiTheme="majorHAnsi"/>
          <w:i/>
          <w:sz w:val="18"/>
          <w:szCs w:val="18"/>
        </w:rPr>
        <w:t>y,</w:t>
      </w:r>
      <w:r w:rsidRPr="00D30FF7">
        <w:rPr>
          <w:rFonts w:asciiTheme="majorHAnsi" w:hAnsiTheme="majorHAnsi"/>
          <w:i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(3) </w:t>
      </w:r>
      <w:r w:rsidRPr="00D30FF7">
        <w:rPr>
          <w:rFonts w:asciiTheme="majorHAnsi" w:hAnsiTheme="majorHAnsi"/>
          <w:i/>
          <w:sz w:val="18"/>
          <w:szCs w:val="18"/>
        </w:rPr>
        <w:t>informed investors act on these events the very same day that they occur</w:t>
      </w:r>
      <w:r>
        <w:rPr>
          <w:rFonts w:asciiTheme="majorHAnsi" w:hAnsiTheme="majorHAnsi"/>
          <w:i/>
          <w:sz w:val="18"/>
          <w:szCs w:val="18"/>
        </w:rPr>
        <w:t>, (4) a</w:t>
      </w:r>
      <w:r w:rsidRPr="00D30FF7">
        <w:rPr>
          <w:rFonts w:asciiTheme="majorHAnsi" w:hAnsiTheme="majorHAnsi"/>
          <w:i/>
          <w:sz w:val="18"/>
          <w:szCs w:val="18"/>
        </w:rPr>
        <w:t>rrival rates of informed and uninformed traders follow independent Poisson processes.</w:t>
      </w:r>
    </w:p>
    <w:p w:rsidR="004164C1" w:rsidRDefault="006B6B99">
      <w:r>
        <w:rPr>
          <w:rFonts w:asciiTheme="majorHAnsi" w:hAnsiTheme="majorHAnsi"/>
          <w:noProof/>
          <w:sz w:val="20"/>
          <w:szCs w:val="20"/>
          <w:lang w:eastAsia="en-AU"/>
        </w:rPr>
      </w:r>
      <w:r>
        <w:rPr>
          <w:rFonts w:asciiTheme="majorHAnsi" w:hAnsiTheme="majorHAnsi"/>
          <w:sz w:val="20"/>
          <w:szCs w:val="20"/>
        </w:rPr>
        <w:pict>
          <v:group id="_x0000_s1047" editas="canvas" style="width:689.4pt;height:422.4pt;mso-position-horizontal-relative:char;mso-position-vertical-relative:line" coordorigin="1440,3559" coordsize="13788,84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440;top:3559;width:13788;height:8448" o:preferrelative="f">
              <v:fill o:detectmouseclick="t"/>
              <v:path o:extrusionok="t" o:connecttype="none"/>
              <o:lock v:ext="edit" text="t"/>
            </v:shape>
            <v:rect id="_x0000_s1049" style="position:absolute;left:2626;top:5928;width:2558;height:828">
              <v:textbox style="mso-next-textbox:#_x0000_s1049">
                <w:txbxContent>
                  <w:p w:rsidR="006B6B99" w:rsidRDefault="006B6B99" w:rsidP="006B6B99">
                    <w:r>
                      <w:t>Information event occurs with probability α</w:t>
                    </w:r>
                  </w:p>
                </w:txbxContent>
              </v:textbox>
            </v:rect>
            <v:rect id="_x0000_s1050" style="position:absolute;left:2638;top:10230;width:2930;height:801">
              <v:textbox style="mso-next-textbox:#_x0000_s1050">
                <w:txbxContent>
                  <w:p w:rsidR="006B6B99" w:rsidRDefault="006B6B99" w:rsidP="006B6B99">
                    <w:r>
                      <w:t>Information event does not occur with probability (1-α)</w:t>
                    </w:r>
                  </w:p>
                </w:txbxContent>
              </v:textbox>
            </v:rect>
            <v:rect id="_x0000_s1051" style="position:absolute;left:6465;top:4689;width:2811;height:855">
              <v:textbox style="mso-next-textbox:#_x0000_s1051">
                <w:txbxContent>
                  <w:p w:rsidR="006B6B99" w:rsidRDefault="006B6B99" w:rsidP="006B6B99">
                    <w:r>
                      <w:t>Signal low (bad news) with probability δ</w:t>
                    </w:r>
                  </w:p>
                </w:txbxContent>
              </v:textbox>
            </v:rect>
            <v:rect id="_x0000_s1052" style="position:absolute;left:6464;top:7257;width:2740;height:855">
              <v:textbox style="mso-next-textbox:#_x0000_s1052">
                <w:txbxContent>
                  <w:p w:rsidR="006B6B99" w:rsidRDefault="006B6B99" w:rsidP="006B6B99">
                    <w:r>
                      <w:t>Signal high (good news) with probability (1- δ)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3" type="#_x0000_t34" style="position:absolute;left:5184;top:5117;width:1281;height:1225;flip:y" o:connectortype="elbow" adj="10792,74463,-87412">
              <v:stroke endarrow="block"/>
            </v:shape>
            <v:shape id="_x0000_s1054" type="#_x0000_t34" style="position:absolute;left:5184;top:6342;width:1280;height:1343" o:connectortype="elbow" adj=",-67920,-87480">
              <v:stroke endarrow="block"/>
            </v:shape>
            <v:rect id="_x0000_s1055" style="position:absolute;left:6536;top:9553;width:2740;height:855">
              <v:textbox style="mso-next-textbox:#_x0000_s1055">
                <w:txbxContent>
                  <w:p w:rsidR="006B6B99" w:rsidRDefault="006B6B99" w:rsidP="006B6B99">
                    <w:r>
                      <w:t xml:space="preserve">Buy arrival rate: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oMath>
                  </w:p>
                </w:txbxContent>
              </v:textbox>
            </v:rect>
            <v:rect id="_x0000_s1056" style="position:absolute;left:6536;top:10780;width:2740;height:855">
              <v:textbox style="mso-next-textbox:#_x0000_s1056">
                <w:txbxContent>
                  <w:p w:rsidR="006B6B99" w:rsidRDefault="006B6B99" w:rsidP="006B6B99">
                    <w:r>
                      <w:t xml:space="preserve">Sell arrival rate: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oMath>
                  </w:p>
                </w:txbxContent>
              </v:textbox>
            </v:rect>
            <v:shape id="_x0000_s1057" type="#_x0000_t34" style="position:absolute;left:5568;top:9981;width:968;height:650;flip:y" o:connectortype="elbow" adj=",282860,-124245">
              <v:stroke endarrow="block"/>
            </v:shape>
            <v:shape id="_x0000_s1058" type="#_x0000_t34" style="position:absolute;left:5568;top:10631;width:968;height:577" o:connectortype="elbow" adj=",-318647,-124245">
              <v:stroke endarrow="block"/>
            </v:shape>
            <v:rect id="_x0000_s1059" style="position:absolute;left:11841;top:4024;width:2811;height:855">
              <v:textbox style="mso-next-textbox:#_x0000_s1059">
                <w:txbxContent>
                  <w:p w:rsidR="006B6B99" w:rsidRDefault="006B6B99" w:rsidP="006B6B99">
                    <w:r>
                      <w:t>Sell arrival rate: (µ +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oMath>
                    <w:r>
                      <w:t>)</w:t>
                    </w:r>
                  </w:p>
                  <w:p w:rsidR="006B6B99" w:rsidRPr="00535F50" w:rsidRDefault="006B6B99" w:rsidP="006B6B99"/>
                </w:txbxContent>
              </v:textbox>
            </v:rect>
            <v:rect id="_x0000_s1060" style="position:absolute;left:11769;top:6628;width:2811;height:855">
              <v:textbox style="mso-next-textbox:#_x0000_s1060">
                <w:txbxContent>
                  <w:p w:rsidR="006B6B99" w:rsidRPr="00535F50" w:rsidRDefault="006B6B99" w:rsidP="006B6B99">
                    <w:r>
                      <w:t xml:space="preserve">Sell arrival rate: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oMath>
                    <w:r>
                      <w:t xml:space="preserve"> </w:t>
                    </w:r>
                  </w:p>
                </w:txbxContent>
              </v:textbox>
            </v:rect>
            <v:shape id="_x0000_s1061" type="#_x0000_t34" style="position:absolute;left:9276;top:4466;width:2565;height:651;flip:y" o:connectortype="elbow" adj="10796,116594,-78114">
              <v:stroke endarrow="block"/>
            </v:shape>
            <v:shape id="_x0000_s1062" type="#_x0000_t34" style="position:absolute;left:9276;top:5117;width:2565;height:554" o:connectortype="elbow" adj="10796,-137008,-78114">
              <v:stroke endarrow="block"/>
            </v:shape>
            <v:shape id="_x0000_s1063" type="#_x0000_t34" style="position:absolute;left:9204;top:7052;width:2565;height:651;flip:y" o:connectortype="elbow" adj="10796,116594,-78114">
              <v:stroke endarrow="block"/>
            </v:shape>
            <v:shape id="_x0000_s1064" type="#_x0000_t34" style="position:absolute;left:9204;top:7703;width:2565;height:632" o:connectortype="elbow" adj="10796,-120099,-78114">
              <v:stroke endarrow="block"/>
            </v:shape>
            <v:rect id="_x0000_s1065" style="position:absolute;left:11769;top:7900;width:2811;height:855">
              <v:textbox style="mso-next-textbox:#_x0000_s1065">
                <w:txbxContent>
                  <w:p w:rsidR="006B6B99" w:rsidRPr="00535F50" w:rsidRDefault="006B6B99" w:rsidP="006B6B99">
                    <w:r>
                      <w:t>Buy arrival rate: (µ +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oMath>
                    <w:r>
                      <w:t>)</w:t>
                    </w:r>
                  </w:p>
                </w:txbxContent>
              </v:textbox>
            </v:rect>
            <v:rect id="_x0000_s1066" style="position:absolute;left:11841;top:5240;width:2811;height:855">
              <v:textbox style="mso-next-textbox:#_x0000_s1066">
                <w:txbxContent>
                  <w:p w:rsidR="006B6B99" w:rsidRDefault="006B6B99" w:rsidP="006B6B99">
                    <w:r>
                      <w:t xml:space="preserve">Buy arrival rate: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oMath>
                  </w:p>
                  <w:p w:rsidR="006B6B99" w:rsidRPr="00535F50" w:rsidRDefault="006B6B99" w:rsidP="006B6B99"/>
                </w:txbxContent>
              </v:textbox>
            </v:rect>
            <v:shape id="_x0000_s1067" type="#_x0000_t34" style="position:absolute;left:2626;top:6342;width:12;height:4289;rotation:180;flip:x y" o:connectortype="elbow" adj="-648000,21268,4726800"/>
            <w10:wrap type="none"/>
            <w10:anchorlock/>
          </v:group>
        </w:pict>
      </w:r>
    </w:p>
    <w:sectPr w:rsidR="004164C1" w:rsidSect="006B6B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D7D"/>
    <w:multiLevelType w:val="multilevel"/>
    <w:tmpl w:val="170EC698"/>
    <w:lvl w:ilvl="0">
      <w:start w:val="1"/>
      <w:numFmt w:val="decimal"/>
      <w:pStyle w:val="Heading1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">
    <w:nsid w:val="33032883"/>
    <w:multiLevelType w:val="hybridMultilevel"/>
    <w:tmpl w:val="0B76F07A"/>
    <w:lvl w:ilvl="0" w:tplc="78360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6B5A"/>
    <w:multiLevelType w:val="multilevel"/>
    <w:tmpl w:val="7E2C04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F214620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0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B99"/>
    <w:rsid w:val="00004C7A"/>
    <w:rsid w:val="000E5225"/>
    <w:rsid w:val="00242C38"/>
    <w:rsid w:val="002E2802"/>
    <w:rsid w:val="00327245"/>
    <w:rsid w:val="003431B9"/>
    <w:rsid w:val="004164C1"/>
    <w:rsid w:val="00556F0F"/>
    <w:rsid w:val="005C45F5"/>
    <w:rsid w:val="00652194"/>
    <w:rsid w:val="006B6B99"/>
    <w:rsid w:val="007052D0"/>
    <w:rsid w:val="00714DB4"/>
    <w:rsid w:val="00725697"/>
    <w:rsid w:val="00781394"/>
    <w:rsid w:val="0079602E"/>
    <w:rsid w:val="0087069A"/>
    <w:rsid w:val="00940E6F"/>
    <w:rsid w:val="00B01BB2"/>
    <w:rsid w:val="00CB22E0"/>
    <w:rsid w:val="00D30FF7"/>
    <w:rsid w:val="00DF0B5D"/>
    <w:rsid w:val="00DF208C"/>
    <w:rsid w:val="00FC7537"/>
    <w:rsid w:val="00FD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53">
          <o:proxy start="" idref="#_x0000_s1049" connectloc="3"/>
          <o:proxy end="" idref="#_x0000_s1051" connectloc="1"/>
        </o:r>
        <o:r id="V:Rule11" type="connector" idref="#_x0000_s1054">
          <o:proxy start="" idref="#_x0000_s1049" connectloc="3"/>
          <o:proxy end="" idref="#_x0000_s1052" connectloc="1"/>
        </o:r>
        <o:r id="V:Rule12" type="connector" idref="#_x0000_s1057">
          <o:proxy start="" idref="#_x0000_s1050" connectloc="3"/>
          <o:proxy end="" idref="#_x0000_s1055" connectloc="1"/>
        </o:r>
        <o:r id="V:Rule13" type="connector" idref="#_x0000_s1058">
          <o:proxy start="" idref="#_x0000_s1050" connectloc="3"/>
          <o:proxy end="" idref="#_x0000_s1056" connectloc="1"/>
        </o:r>
        <o:r id="V:Rule14" type="connector" idref="#_x0000_s1061">
          <o:proxy start="" idref="#_x0000_s1051" connectloc="3"/>
        </o:r>
        <o:r id="V:Rule15" type="connector" idref="#_x0000_s1062">
          <o:proxy start="" idref="#_x0000_s1051" connectloc="3"/>
        </o:r>
        <o:r id="V:Rule16" type="connector" idref="#_x0000_s1063"/>
        <o:r id="V:Rule17" type="connector" idref="#_x0000_s1064"/>
        <o:r id="V:Rule18" type="connector" idref="#_x0000_s1067">
          <o:proxy start="" idref="#_x0000_s1049" connectloc="1"/>
          <o:proxy end="" idref="#_x0000_s1050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99"/>
  </w:style>
  <w:style w:type="paragraph" w:styleId="Heading1">
    <w:name w:val="heading 1"/>
    <w:basedOn w:val="Normal"/>
    <w:next w:val="NoSpacing"/>
    <w:link w:val="Heading1Char"/>
    <w:autoRedefine/>
    <w:uiPriority w:val="9"/>
    <w:qFormat/>
    <w:rsid w:val="004164C1"/>
    <w:pPr>
      <w:keepNext/>
      <w:keepLines/>
      <w:numPr>
        <w:numId w:val="1"/>
      </w:numPr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4C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0">
    <w:name w:val="heading 3"/>
    <w:basedOn w:val="Normal"/>
    <w:next w:val="Normal"/>
    <w:link w:val="Heading3Char"/>
    <w:uiPriority w:val="9"/>
    <w:unhideWhenUsed/>
    <w:qFormat/>
    <w:rsid w:val="004164C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4C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4C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4C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4C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4C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4C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4C1"/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NoSpacing">
    <w:name w:val="No Spacing"/>
    <w:uiPriority w:val="1"/>
    <w:qFormat/>
    <w:rsid w:val="004164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16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416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164C1"/>
    <w:pPr>
      <w:spacing w:line="240" w:lineRule="auto"/>
    </w:pPr>
    <w:rPr>
      <w:rFonts w:asciiTheme="majorHAnsi" w:hAnsiTheme="majorHAnsi"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6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64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64C1"/>
  </w:style>
  <w:style w:type="paragraph" w:customStyle="1" w:styleId="heading3">
    <w:name w:val="heading 3."/>
    <w:basedOn w:val="ListParagraph"/>
    <w:link w:val="heading3Char0"/>
    <w:qFormat/>
    <w:rsid w:val="004164C1"/>
    <w:pPr>
      <w:numPr>
        <w:ilvl w:val="2"/>
        <w:numId w:val="10"/>
      </w:numPr>
    </w:pPr>
  </w:style>
  <w:style w:type="character" w:customStyle="1" w:styleId="heading3Char0">
    <w:name w:val="heading 3. Char"/>
    <w:basedOn w:val="ListParagraphChar"/>
    <w:link w:val="heading3"/>
    <w:rsid w:val="004164C1"/>
  </w:style>
  <w:style w:type="paragraph" w:styleId="BalloonText">
    <w:name w:val="Balloon Text"/>
    <w:basedOn w:val="Normal"/>
    <w:link w:val="BalloonTextChar"/>
    <w:uiPriority w:val="99"/>
    <w:semiHidden/>
    <w:unhideWhenUsed/>
    <w:rsid w:val="006B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6B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jsudima0</dc:creator>
  <cp:lastModifiedBy>jsudima0</cp:lastModifiedBy>
  <cp:revision>2</cp:revision>
  <dcterms:created xsi:type="dcterms:W3CDTF">2010-07-27T13:53:00Z</dcterms:created>
  <dcterms:modified xsi:type="dcterms:W3CDTF">2010-07-27T13:53:00Z</dcterms:modified>
</cp:coreProperties>
</file>