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38F" w:rsidRPr="0023638F" w:rsidRDefault="0023638F" w:rsidP="0023638F">
      <w:pPr>
        <w:rPr>
          <w:rFonts w:eastAsiaTheme="minorEastAsia"/>
        </w:rPr>
      </w:pPr>
      <w:r>
        <w:rPr>
          <w:rFonts w:eastAsiaTheme="minorEastAsia"/>
        </w:rPr>
        <w:t>1)</w:t>
      </w:r>
    </w:p>
    <w:p w:rsidR="0023638F" w:rsidRPr="0023638F" w:rsidRDefault="0023638F" w:rsidP="0023638F">
      <w:pPr>
        <w:rPr>
          <w:rFonts w:eastAsiaTheme="minorEastAsia"/>
        </w:rPr>
      </w:pPr>
    </w:p>
    <w:p w:rsidR="0023638F" w:rsidRDefault="0023638F" w:rsidP="0023638F">
      <w:pPr>
        <w:rPr>
          <w:rFonts w:eastAsiaTheme="minorEastAsia"/>
        </w:rPr>
      </w:pP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t-1</m:t>
            </m:r>
          </m:e>
        </m:d>
        <m:r>
          <w:rPr>
            <w:rFonts w:ascii="Cambria Math" w:hAnsi="Cambria Math"/>
          </w:rPr>
          <m:t>+f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 xml:space="preserve">1 </m:t>
                </m:r>
              </m:sub>
            </m:sSub>
            <m:r>
              <w:rPr>
                <w:rFonts w:ascii="Cambria Math" w:hAnsi="Cambria Math"/>
              </w:rPr>
              <m:t>d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t-1</m:t>
                </m:r>
              </m:e>
            </m:d>
            <m:r>
              <w:rPr>
                <w:rFonts w:ascii="Cambria Math" w:hAnsi="Cambria Math"/>
              </w:rPr>
              <m:t xml:space="preserve">-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t-1</m:t>
                </m:r>
              </m:e>
            </m:d>
          </m:e>
        </m:d>
        <m:r>
          <w:rPr>
            <w:rFonts w:ascii="Cambria Math" w:hAnsi="Cambria Math"/>
          </w:rPr>
          <m:t>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N-Y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t-1</m:t>
                </m:r>
              </m:e>
            </m:d>
          </m:e>
        </m:d>
        <m:r>
          <w:rPr>
            <w:rFonts w:ascii="Cambria Math" w:hAnsi="Cambria Math"/>
          </w:rPr>
          <m:t xml:space="preserve">+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t-1</m:t>
                </m:r>
              </m:e>
            </m:d>
            <m:r>
              <w:rPr>
                <w:rFonts w:ascii="Cambria Math" w:hAnsi="Cambria Math"/>
              </w:rPr>
              <m:t>-Y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t-2</m:t>
                </m:r>
              </m:e>
            </m:d>
          </m:e>
        </m:d>
        <m:r>
          <w:rPr>
            <w:rFonts w:ascii="Cambria Math" w:hAnsi="Cambria Math"/>
          </w:rPr>
          <m:t>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N-Y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t-1</m:t>
                </m:r>
              </m:e>
            </m:d>
          </m:e>
        </m:d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</m:t>
            </m:r>
          </m:e>
        </m:acc>
      </m:oMath>
      <w:r>
        <w:rPr>
          <w:rFonts w:eastAsiaTheme="minorEastAsia"/>
        </w:rPr>
        <w:t>(</w:t>
      </w:r>
      <w:proofErr w:type="gramStart"/>
      <w:r>
        <w:rPr>
          <w:rFonts w:eastAsiaTheme="minorEastAsia"/>
        </w:rPr>
        <w:t>t-1</w:t>
      </w:r>
      <w:proofErr w:type="gramEnd"/>
      <w:r>
        <w:rPr>
          <w:rFonts w:eastAsiaTheme="minorEastAsia"/>
        </w:rPr>
        <w:t>)</w:t>
      </w:r>
      <w:proofErr w:type="gramStart"/>
      <w:r>
        <w:rPr>
          <w:rFonts w:eastAsiaTheme="minorEastAsia"/>
        </w:rPr>
        <w:t>Y(</w:t>
      </w:r>
      <w:proofErr w:type="gramEnd"/>
      <w:r>
        <w:rPr>
          <w:rFonts w:eastAsiaTheme="minorEastAsia"/>
        </w:rPr>
        <w:t>t-1)</w:t>
      </w:r>
    </w:p>
    <w:p w:rsidR="0023638F" w:rsidRDefault="0023638F" w:rsidP="0023638F">
      <w:pPr>
        <w:rPr>
          <w:rFonts w:eastAsiaTheme="minorEastAsia"/>
        </w:rPr>
      </w:pPr>
    </w:p>
    <w:p w:rsidR="0023638F" w:rsidRPr="00D63C19" w:rsidRDefault="0023638F" w:rsidP="0023638F">
      <w:pPr>
        <w:rPr>
          <w:rFonts w:eastAsiaTheme="minorEastAsia"/>
        </w:rPr>
      </w:pPr>
    </w:p>
    <w:p w:rsidR="0023638F" w:rsidRDefault="0023638F" w:rsidP="0023638F">
      <w:pPr>
        <w:rPr>
          <w:rFonts w:eastAsiaTheme="minorEastAsia"/>
        </w:rPr>
      </w:pPr>
      <w:r>
        <w:rPr>
          <w:rFonts w:eastAsiaTheme="minorEastAsia"/>
        </w:rPr>
        <w:t>Where</w:t>
      </w:r>
    </w:p>
    <w:p w:rsidR="0023638F" w:rsidRDefault="0023638F" w:rsidP="0023638F">
      <w:pPr>
        <w:rPr>
          <w:rFonts w:eastAsiaTheme="minorEastAsia"/>
        </w:rPr>
      </w:pPr>
    </w:p>
    <w:p w:rsidR="0023638F" w:rsidRDefault="0023638F" w:rsidP="0023638F">
      <w:pPr>
        <w:rPr>
          <w:rFonts w:eastAsiaTheme="minorEastAsia"/>
        </w:rPr>
      </w:pPr>
      <w:proofErr w:type="gramStart"/>
      <w:r>
        <w:rPr>
          <w:rFonts w:eastAsiaTheme="minorEastAsia"/>
        </w:rPr>
        <w:t>Y</w:t>
      </w:r>
      <w:r w:rsidRPr="00E07E80">
        <w:rPr>
          <w:rFonts w:eastAsiaTheme="minorEastAsia"/>
          <w:i/>
        </w:rPr>
        <w:t>(</w:t>
      </w:r>
      <w:proofErr w:type="gramEnd"/>
      <w:r w:rsidRPr="00E07E80">
        <w:rPr>
          <w:rFonts w:eastAsiaTheme="minorEastAsia"/>
          <w:i/>
        </w:rPr>
        <w:t>t</w:t>
      </w:r>
      <w:r>
        <w:rPr>
          <w:rFonts w:eastAsiaTheme="minorEastAsia"/>
        </w:rPr>
        <w:t xml:space="preserve">) is the number of prescriptions written at time </w:t>
      </w:r>
      <w:r w:rsidRPr="00E07E80">
        <w:rPr>
          <w:rFonts w:eastAsiaTheme="minorEastAsia"/>
          <w:i/>
        </w:rPr>
        <w:t>t</w:t>
      </w:r>
      <w:r>
        <w:rPr>
          <w:rFonts w:eastAsiaTheme="minorEastAsia"/>
        </w:rPr>
        <w:t>,</w:t>
      </w:r>
    </w:p>
    <w:p w:rsidR="0023638F" w:rsidRDefault="0023638F" w:rsidP="0023638F">
      <w:pPr>
        <w:rPr>
          <w:rFonts w:eastAsiaTheme="minorEastAsia"/>
        </w:rPr>
      </w:pPr>
      <w:proofErr w:type="gramStart"/>
      <w:r w:rsidRPr="00E07E80">
        <w:rPr>
          <w:rFonts w:eastAsiaTheme="minorEastAsia"/>
          <w:i/>
        </w:rPr>
        <w:t>d(</w:t>
      </w:r>
      <w:proofErr w:type="gramEnd"/>
      <w:r w:rsidRPr="00E07E80">
        <w:rPr>
          <w:rFonts w:eastAsiaTheme="minorEastAsia"/>
          <w:i/>
        </w:rPr>
        <w:t>t)</w:t>
      </w:r>
      <w:r>
        <w:rPr>
          <w:rFonts w:eastAsiaTheme="minorEastAsia"/>
        </w:rPr>
        <w:t xml:space="preserve"> is the firms detailing effort at time </w:t>
      </w:r>
      <w:r w:rsidRPr="00E07E80">
        <w:rPr>
          <w:rFonts w:eastAsiaTheme="minorEastAsia"/>
          <w:i/>
        </w:rPr>
        <w:t>t</w:t>
      </w:r>
      <w:r>
        <w:rPr>
          <w:rFonts w:eastAsiaTheme="minorEastAsia"/>
        </w:rPr>
        <w:t>,</w:t>
      </w:r>
    </w:p>
    <w:p w:rsidR="0023638F" w:rsidRDefault="0023638F" w:rsidP="0023638F">
      <w:pPr>
        <w:rPr>
          <w:rFonts w:eastAsiaTheme="minorEastAsia"/>
        </w:rPr>
      </w:pP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d</m:t>
            </m:r>
          </m:e>
        </m:acc>
      </m:oMath>
      <w:r w:rsidRPr="00E07E80">
        <w:rPr>
          <w:rFonts w:eastAsiaTheme="minorEastAsia"/>
          <w:i/>
        </w:rPr>
        <w:t>(</w:t>
      </w:r>
      <w:proofErr w:type="gramStart"/>
      <w:r w:rsidRPr="00E07E80">
        <w:rPr>
          <w:rFonts w:eastAsiaTheme="minorEastAsia"/>
          <w:i/>
        </w:rPr>
        <w:t>t</w:t>
      </w:r>
      <w:proofErr w:type="gramEnd"/>
      <w:r w:rsidRPr="00E07E80">
        <w:rPr>
          <w:rFonts w:eastAsiaTheme="minorEastAsia"/>
          <w:i/>
        </w:rPr>
        <w:t>)</w:t>
      </w:r>
      <w:r>
        <w:rPr>
          <w:rFonts w:eastAsiaTheme="minorEastAsia"/>
        </w:rPr>
        <w:t xml:space="preserve"> is the competitive detailing effort at time </w:t>
      </w:r>
      <w:r w:rsidRPr="00E07E80">
        <w:rPr>
          <w:rFonts w:eastAsiaTheme="minorEastAsia"/>
          <w:i/>
        </w:rPr>
        <w:t>t</w:t>
      </w:r>
      <w:r>
        <w:rPr>
          <w:rFonts w:eastAsiaTheme="minorEastAsia"/>
        </w:rPr>
        <w:t>,</w:t>
      </w:r>
    </w:p>
    <w:p w:rsidR="0023638F" w:rsidRDefault="0023638F" w:rsidP="0023638F">
      <w:pPr>
        <w:rPr>
          <w:rFonts w:eastAsiaTheme="minorEastAsia"/>
        </w:rPr>
      </w:pPr>
      <w:proofErr w:type="gramStart"/>
      <w:r w:rsidRPr="00E07E80">
        <w:rPr>
          <w:rFonts w:eastAsiaTheme="minorEastAsia"/>
          <w:i/>
        </w:rPr>
        <w:t>f(</w:t>
      </w:r>
      <w:proofErr w:type="gramEnd"/>
      <w:r w:rsidRPr="00E07E80">
        <w:rPr>
          <w:rFonts w:eastAsiaTheme="minorEastAsia"/>
          <w:i/>
        </w:rPr>
        <w:t>t)</w:t>
      </w:r>
      <w:r>
        <w:rPr>
          <w:rFonts w:eastAsiaTheme="minorEastAsia"/>
        </w:rPr>
        <w:t xml:space="preserve"> is the decay rate, i.e. early prescribers tend to prescribe the most and </w:t>
      </w:r>
      <w:r w:rsidRPr="00E07E80">
        <w:rPr>
          <w:rFonts w:eastAsiaTheme="minorEastAsia"/>
          <w:i/>
        </w:rPr>
        <w:t>f(t)</w:t>
      </w:r>
      <w:r>
        <w:rPr>
          <w:rFonts w:eastAsiaTheme="minorEastAsia"/>
        </w:rPr>
        <w:t xml:space="preserve"> will decline as </w:t>
      </w:r>
      <w:r w:rsidRPr="00E07E80">
        <w:rPr>
          <w:rFonts w:eastAsiaTheme="minorEastAsia"/>
          <w:i/>
        </w:rPr>
        <w:t>t</w:t>
      </w:r>
      <w:r>
        <w:rPr>
          <w:rFonts w:eastAsiaTheme="minorEastAsia"/>
        </w:rPr>
        <w:t xml:space="preserve"> increases. </w:t>
      </w:r>
    </w:p>
    <w:p w:rsidR="0023638F" w:rsidRPr="00E07E80" w:rsidRDefault="0023638F" w:rsidP="0023638F">
      <w:pPr>
        <w:rPr>
          <w:rFonts w:eastAsiaTheme="minorEastAsia"/>
        </w:rPr>
      </w:pPr>
      <w:r w:rsidRPr="0078639D">
        <w:rPr>
          <w:rFonts w:eastAsiaTheme="minorEastAsia"/>
          <w:i/>
        </w:rPr>
        <w:t>N</w:t>
      </w:r>
      <w:r>
        <w:rPr>
          <w:rFonts w:eastAsiaTheme="minorEastAsia"/>
        </w:rPr>
        <w:t xml:space="preserve"> is the total potential number of prescribers multiplied by the average prescription rate. </w:t>
      </w:r>
    </w:p>
    <w:p w:rsidR="0023638F" w:rsidRPr="0078639D" w:rsidRDefault="0023638F" w:rsidP="0023638F">
      <w:r>
        <w:t>A</w:t>
      </w:r>
      <w:r>
        <w:rPr>
          <w:vertAlign w:val="subscript"/>
        </w:rPr>
        <w:t>i</w:t>
      </w:r>
      <w:r>
        <w:t xml:space="preserve"> </w:t>
      </w:r>
      <w:proofErr w:type="spellStart"/>
      <w:r>
        <w:rPr>
          <w:i/>
        </w:rPr>
        <w:t>i</w:t>
      </w:r>
      <w:proofErr w:type="spellEnd"/>
      <w:r>
        <w:t xml:space="preserve"> = 1</w:t>
      </w:r>
      <w:proofErr w:type="gramStart"/>
      <w:r>
        <w:t>,…</w:t>
      </w:r>
      <w:proofErr w:type="gramEnd"/>
      <w:r>
        <w:t>4 are constants.</w:t>
      </w:r>
    </w:p>
    <w:p w:rsidR="00375C72" w:rsidRDefault="00375C72"/>
    <w:p w:rsidR="00431373" w:rsidRDefault="00431373">
      <w:r>
        <w:t>2)</w:t>
      </w:r>
    </w:p>
    <w:p w:rsidR="00431373" w:rsidRDefault="00431373"/>
    <w:p w:rsidR="0023638F" w:rsidRDefault="0023638F" w:rsidP="0023638F">
      <w:pPr>
        <w:ind w:firstLine="360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d>
              <m:r>
                <w:rPr>
                  <w:rFonts w:ascii="Cambria Math" w:hAnsi="Cambria Math"/>
                </w:rPr>
                <m:t>,Y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d>
              <m:r>
                <w:rPr>
                  <w:rFonts w:ascii="Cambria Math" w:hAnsi="Cambria Math"/>
                </w:rPr>
                <m:t>,…,Y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e>
          </m:d>
          <m:r>
            <w:rPr>
              <w:rFonts w:ascii="Cambria Math" w:hAnsi="Cambria Math"/>
            </w:rPr>
            <m:t>given 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</m:t>
              </m:r>
            </m:e>
          </m:d>
          <m:r>
            <w:rPr>
              <w:rFonts w:ascii="Cambria Math" w:hAnsi="Cambria Math"/>
            </w:rPr>
            <m:t>and 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</m:t>
              </m:r>
            </m:e>
          </m:d>
          <m:r>
            <w:rPr>
              <w:rFonts w:ascii="Cambria Math" w:hAnsi="Cambria Math"/>
            </w:rPr>
            <m:t xml:space="preserve">: </m:t>
          </m:r>
        </m:oMath>
      </m:oMathPara>
    </w:p>
    <w:p w:rsidR="0023638F" w:rsidRDefault="0023638F" w:rsidP="0023638F"/>
    <w:p w:rsidR="0023638F" w:rsidRPr="0051422B" w:rsidRDefault="0023638F" w:rsidP="0023638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-Y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t-1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d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t-1</m:t>
                  </m:r>
                </m:e>
              </m:d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t-1</m:t>
                  </m:r>
                </m:e>
              </m:d>
            </m:e>
          </m:d>
          <m:r>
            <w:rPr>
              <w:rFonts w:ascii="Cambria Math" w:hAnsi="Cambria Math"/>
            </w:rPr>
            <m:t>∙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N-Y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t-1</m:t>
                  </m:r>
                </m:e>
              </m:d>
            </m:e>
          </m:d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t-1</m:t>
                  </m:r>
                </m:e>
              </m:d>
              <m:r>
                <w:rPr>
                  <w:rFonts w:ascii="Cambria Math" w:hAnsi="Cambria Math"/>
                </w:rPr>
                <m:t>-Y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t-2</m:t>
                  </m:r>
                </m:e>
              </m:d>
            </m:e>
          </m:d>
          <m:r>
            <w:rPr>
              <w:rFonts w:ascii="Cambria Math" w:hAnsi="Cambria Math"/>
            </w:rPr>
            <m:t>∙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N-Y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t-1</m:t>
                  </m:r>
                </m:e>
              </m:d>
            </m:e>
          </m:d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d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t-1</m:t>
              </m:r>
            </m:e>
          </m:d>
          <m:r>
            <w:rPr>
              <w:rFonts w:ascii="Cambria Math" w:hAnsi="Cambria Math"/>
            </w:rPr>
            <m:t>∙Y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t-1</m:t>
              </m:r>
            </m:e>
          </m:d>
          <m:r>
            <w:rPr>
              <w:rFonts w:ascii="Cambria Math" w:hAnsi="Cambria Math"/>
            </w:rPr>
            <m:t>+u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</m:oMath>
      </m:oMathPara>
    </w:p>
    <w:p w:rsidR="0023638F" w:rsidRDefault="0023638F" w:rsidP="0023638F">
      <w:pPr>
        <w:rPr>
          <w:rFonts w:eastAsiaTheme="minorEastAsia"/>
        </w:rPr>
      </w:pPr>
    </w:p>
    <w:p w:rsidR="0023638F" w:rsidRDefault="0023638F" w:rsidP="0023638F">
      <w:pPr>
        <w:jc w:val="right"/>
        <w:rPr>
          <w:b/>
        </w:rPr>
      </w:pPr>
      <m:oMathPara>
        <m:oMath>
          <m:r>
            <w:rPr>
              <w:rFonts w:ascii="Cambria Math" w:hAnsi="Cambria Math"/>
            </w:rPr>
            <m:t>t=3, 4,…,T,</m:t>
          </m:r>
        </m:oMath>
      </m:oMathPara>
    </w:p>
    <w:p w:rsidR="0023638F" w:rsidRDefault="0023638F" w:rsidP="0023638F">
      <w:pPr>
        <w:rPr>
          <w:b/>
        </w:rPr>
      </w:pPr>
    </w:p>
    <w:p w:rsidR="0023638F" w:rsidRPr="00F81532" w:rsidRDefault="0023638F" w:rsidP="0023638F">
      <w:pPr>
        <w:rPr>
          <w:rFonts w:eastAsiaTheme="minorEastAsia"/>
        </w:rPr>
      </w:pPr>
      <w:proofErr w:type="spellStart"/>
      <w:r>
        <w:t>Rao</w:t>
      </w:r>
      <w:proofErr w:type="spellEnd"/>
      <w:r>
        <w:t xml:space="preserve"> and Yamada (1988) found that the LRK model provides the best fit for pharmaceutical data when the decay factor was removed. For this reason in the </w:t>
      </w:r>
      <w:proofErr w:type="spellStart"/>
      <w:r>
        <w:t>Rao</w:t>
      </w:r>
      <w:proofErr w:type="spellEnd"/>
      <w:r>
        <w:t xml:space="preserve"> and Yamada (1988) version </w:t>
      </w:r>
      <w:proofErr w:type="gramStart"/>
      <w:r w:rsidRPr="004E5CB0">
        <w:rPr>
          <w:i/>
        </w:rPr>
        <w:t>f(</w:t>
      </w:r>
      <w:proofErr w:type="gramEnd"/>
      <w:r w:rsidRPr="004E5CB0">
        <w:rPr>
          <w:i/>
        </w:rPr>
        <w:t>t)</w:t>
      </w:r>
      <w:r>
        <w:t xml:space="preserve"> is set to 1. Also in the </w:t>
      </w:r>
      <w:proofErr w:type="spellStart"/>
      <w:r>
        <w:t>Rao</w:t>
      </w:r>
      <w:proofErr w:type="spellEnd"/>
      <w:r>
        <w:t xml:space="preserve"> and Yamada (1988) version the parameters </w:t>
      </w:r>
      <w:r w:rsidRPr="006F05EF">
        <w:rPr>
          <w:i/>
        </w:rPr>
        <w:t>N</w:t>
      </w:r>
      <w:r>
        <w:t xml:space="preserve"> and </w:t>
      </w:r>
      <w:r w:rsidRPr="006F05EF">
        <w:rPr>
          <w:i/>
        </w:rPr>
        <w:t>a</w:t>
      </w:r>
      <w:r w:rsidRPr="006F05EF">
        <w:rPr>
          <w:i/>
          <w:vertAlign w:val="subscript"/>
        </w:rPr>
        <w:t>1</w:t>
      </w:r>
      <w:r w:rsidRPr="006F05EF">
        <w:rPr>
          <w:i/>
        </w:rPr>
        <w:t>, a</w:t>
      </w:r>
      <w:r w:rsidRPr="006F05EF">
        <w:rPr>
          <w:i/>
          <w:vertAlign w:val="subscript"/>
        </w:rPr>
        <w:t>2</w:t>
      </w:r>
      <w:r w:rsidRPr="006F05EF">
        <w:rPr>
          <w:i/>
        </w:rPr>
        <w:t>, a</w:t>
      </w:r>
      <w:r w:rsidRPr="006F05EF">
        <w:rPr>
          <w:i/>
          <w:vertAlign w:val="subscript"/>
        </w:rPr>
        <w:t>3</w:t>
      </w:r>
      <w:r w:rsidRPr="006F05EF">
        <w:rPr>
          <w:i/>
        </w:rPr>
        <w:t>, a</w:t>
      </w:r>
      <w:r w:rsidRPr="006F05EF">
        <w:rPr>
          <w:i/>
          <w:vertAlign w:val="subscript"/>
        </w:rPr>
        <w:t>4</w:t>
      </w:r>
      <w:r w:rsidRPr="006F05EF">
        <w:rPr>
          <w:i/>
        </w:rPr>
        <w:t xml:space="preserve"> </w:t>
      </w:r>
      <w:r>
        <w:t xml:space="preserve">are all unknown; </w:t>
      </w:r>
      <w:proofErr w:type="gramStart"/>
      <w:r>
        <w:t>u(</w:t>
      </w:r>
      <w:proofErr w:type="gramEnd"/>
      <w:r>
        <w:t xml:space="preserve">t) is also included as a disturbance term. It is assumed that the disturbances are all independently and normally distributed, with a zero mean and a common </w:t>
      </w:r>
      <w:proofErr w:type="gramStart"/>
      <w:r>
        <w:t xml:space="preserve">variance </w:t>
      </w:r>
      <m:oMath>
        <w:proofErr w:type="gramEnd"/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σ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. A number of basic bench mark models will also be used including a naïve model, exponential smoothing and moving average techniques. </w:t>
      </w:r>
    </w:p>
    <w:p w:rsidR="0023638F" w:rsidRDefault="0023638F"/>
    <w:sectPr w:rsidR="0023638F" w:rsidSect="00375C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lgun Gothic">
    <w:altName w:val="맑은 고딕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21444"/>
    <w:multiLevelType w:val="hybridMultilevel"/>
    <w:tmpl w:val="1966D97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23638F"/>
    <w:rsid w:val="0023638F"/>
    <w:rsid w:val="002C0D39"/>
    <w:rsid w:val="00375C72"/>
    <w:rsid w:val="00431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638F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363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63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63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abp80c</dc:creator>
  <cp:keywords/>
  <dc:description/>
  <cp:lastModifiedBy>abp80c</cp:lastModifiedBy>
  <cp:revision>2</cp:revision>
  <dcterms:created xsi:type="dcterms:W3CDTF">2011-11-09T13:39:00Z</dcterms:created>
  <dcterms:modified xsi:type="dcterms:W3CDTF">2011-11-09T13:43:00Z</dcterms:modified>
</cp:coreProperties>
</file>